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before="240" w:after="240"/>
        <w:rPr>
          <w:rFonts w:ascii="Cambria Bold" w:cs="Cambria Bold" w:hAnsi="Cambria Bold" w:eastAsia="Cambria Bold"/>
        </w:rPr>
      </w:pPr>
      <w:r>
        <w:rPr>
          <w:rFonts w:ascii="Cambria Bold" w:hAnsi="Cambria Bold"/>
          <w:rtl w:val="0"/>
        </w:rPr>
        <w:t xml:space="preserve">CT700: Module 1: </w:t>
      </w:r>
      <w:r>
        <w:rPr>
          <w:rFonts w:ascii="Cambria Bold" w:hAnsi="Cambria Bold"/>
          <w:rtl w:val="0"/>
          <w:lang w:val="en-US"/>
        </w:rPr>
        <w:t>Instructional Redesign Assignments</w:t>
      </w:r>
    </w:p>
    <w:p>
      <w:pPr>
        <w:pStyle w:val="Body"/>
        <w:spacing w:before="240" w:after="240"/>
        <w:rPr>
          <w:rFonts w:ascii="Cambria Bold" w:cs="Cambria Bold" w:hAnsi="Cambria Bold" w:eastAsia="Cambria Bold"/>
        </w:rPr>
      </w:pPr>
      <w:r>
        <w:rPr>
          <w:rFonts w:ascii="Cambria Bold" w:hAnsi="Cambria Bold"/>
          <w:rtl w:val="0"/>
        </w:rPr>
        <w:t>1.</w:t>
      </w:r>
      <w:r>
        <w:rPr>
          <w:rFonts w:ascii="Cambria Bold" w:hAnsi="Cambria Bold" w:hint="default"/>
          <w:rtl w:val="0"/>
        </w:rPr>
        <w:t> </w:t>
      </w:r>
      <w:r>
        <w:rPr>
          <w:rFonts w:ascii="Cambria Bold" w:hAnsi="Cambria Bold"/>
          <w:rtl w:val="0"/>
          <w:lang w:val="en-US"/>
        </w:rPr>
        <w:t>Write a brief description of your current courses in terms of:</w:t>
      </w:r>
    </w:p>
    <w:p>
      <w:pPr>
        <w:pStyle w:val="Body"/>
        <w:spacing w:before="240" w:after="240"/>
        <w:rPr>
          <w:rFonts w:ascii="Cambria Bold" w:cs="Cambria Bold" w:hAnsi="Cambria Bold" w:eastAsia="Cambria Bold"/>
        </w:rPr>
      </w:pPr>
      <w:r>
        <w:rPr>
          <w:rFonts w:ascii="Cambria Bold" w:hAnsi="Cambria Bold"/>
          <w:rtl w:val="0"/>
          <w:lang w:val="it-IT"/>
        </w:rPr>
        <w:t>a.</w:t>
      </w:r>
      <w:r>
        <w:rPr>
          <w:rFonts w:ascii="Cambria Bold" w:hAnsi="Cambria Bold" w:hint="default"/>
          <w:rtl w:val="0"/>
        </w:rPr>
        <w:t> </w:t>
      </w:r>
      <w:r>
        <w:rPr>
          <w:rFonts w:ascii="Cambria Bold" w:hAnsi="Cambria Bold"/>
          <w:rtl w:val="0"/>
          <w:lang w:val="en-US"/>
        </w:rPr>
        <w:t>Your primary instructional approach.</w:t>
      </w:r>
    </w:p>
    <w:p>
      <w:pPr>
        <w:pStyle w:val="Body"/>
        <w:spacing w:before="240" w:after="240"/>
        <w:rPr>
          <w:rFonts w:ascii="Cambria Bold" w:cs="Cambria Bold" w:hAnsi="Cambria Bold" w:eastAsia="Cambria Bold"/>
        </w:rPr>
      </w:pPr>
      <w:r>
        <w:rPr>
          <w:rFonts w:ascii="Cambria Bold" w:hAnsi="Cambria Bold"/>
          <w:rtl w:val="0"/>
        </w:rPr>
        <w:t>b.</w:t>
      </w:r>
      <w:r>
        <w:rPr>
          <w:rFonts w:ascii="Cambria Bold" w:hAnsi="Cambria Bold" w:hint="default"/>
          <w:rtl w:val="0"/>
        </w:rPr>
        <w:t> </w:t>
      </w:r>
      <w:r>
        <w:rPr>
          <w:rFonts w:ascii="Cambria Bold" w:hAnsi="Cambria Bold"/>
          <w:rtl w:val="0"/>
          <w:lang w:val="en-US"/>
        </w:rPr>
        <w:t>Whether you try to engage students in quality reasoning.</w:t>
      </w:r>
    </w:p>
    <w:p>
      <w:pPr>
        <w:pStyle w:val="Body"/>
        <w:spacing w:before="240" w:after="240"/>
        <w:rPr>
          <w:rFonts w:ascii="Cambria Bold" w:cs="Cambria Bold" w:hAnsi="Cambria Bold" w:eastAsia="Cambria Bold"/>
        </w:rPr>
      </w:pPr>
      <w:r>
        <w:rPr>
          <w:rFonts w:ascii="Cambria Bold" w:hAnsi="Cambria Bold"/>
          <w:rtl w:val="0"/>
        </w:rPr>
        <w:t>c.</w:t>
      </w:r>
      <w:r>
        <w:rPr>
          <w:rFonts w:ascii="Cambria Bold" w:hAnsi="Cambria Bold" w:hint="default"/>
          <w:rtl w:val="0"/>
        </w:rPr>
        <w:t> </w:t>
      </w:r>
      <w:r>
        <w:rPr>
          <w:rFonts w:ascii="Cambria Bold" w:hAnsi="Cambria Bold"/>
          <w:rtl w:val="0"/>
          <w:lang w:val="en-US"/>
        </w:rPr>
        <w:t>If applicable,</w:t>
      </w:r>
      <w:r>
        <w:rPr>
          <w:rFonts w:ascii="Cambria Bold" w:hAnsi="Cambria Bold" w:hint="default"/>
          <w:rtl w:val="0"/>
        </w:rPr>
        <w:t> </w:t>
      </w:r>
      <w:r>
        <w:rPr>
          <w:rFonts w:ascii="Cambria Bold" w:hAnsi="Cambria Bold"/>
          <w:rtl w:val="0"/>
        </w:rPr>
        <w:t>how</w:t>
      </w:r>
      <w:r>
        <w:rPr>
          <w:rFonts w:ascii="Cambria Bold" w:hAnsi="Cambria Bold" w:hint="default"/>
          <w:rtl w:val="0"/>
        </w:rPr>
        <w:t> </w:t>
      </w:r>
      <w:r>
        <w:rPr>
          <w:rFonts w:ascii="Cambria Bold" w:hAnsi="Cambria Bold"/>
          <w:rtl w:val="0"/>
          <w:lang w:val="en-US"/>
        </w:rPr>
        <w:t>you try to engage students in quality reasoning.</w:t>
      </w:r>
    </w:p>
    <w:p>
      <w:pPr>
        <w:pStyle w:val="Body"/>
        <w:spacing w:before="240" w:after="240"/>
      </w:pPr>
    </w:p>
    <w:p>
      <w:pPr>
        <w:pStyle w:val="Body"/>
        <w:numPr>
          <w:ilvl w:val="0"/>
          <w:numId w:val="2"/>
        </w:numPr>
        <w:spacing w:before="240" w:after="240"/>
      </w:pPr>
      <w:r>
        <w:rPr>
          <w:rtl w:val="0"/>
        </w:rPr>
        <w:t>I teach the New Testament primarily to future pastors and preachers of its very contents via lectures, seminars and reading groups. We engage with its original language, Greek, often translating the text in class first before observing it in its textual (biblical) and historical context. I like to both teach and to ask questions, so my lectures are not merely a monologue. I also make use of a slideshow with pictures and photos from my travels to the places where these texts emerged in order to engage the students</w:t>
      </w:r>
      <w:r>
        <w:rPr>
          <w:rtl w:val="0"/>
        </w:rPr>
        <w:t xml:space="preserve">’ </w:t>
      </w:r>
      <w:r>
        <w:rPr>
          <w:rtl w:val="0"/>
        </w:rPr>
        <w:t>visual learning. Because of the increasing temptation of AI, I have stopped offering online quizzes and changed them into in-class one-page essays to be written by hand. The questions need to be quite broad but also such that show that the student has not only sat in on classes and done the required assignments, but thought through the essay question at hand. Apart from the reading groups, my classes also entail research papers that the students must write at home.</w:t>
      </w:r>
    </w:p>
    <w:p>
      <w:pPr>
        <w:pStyle w:val="Body"/>
        <w:numPr>
          <w:ilvl w:val="0"/>
          <w:numId w:val="2"/>
        </w:numPr>
        <w:spacing w:before="240" w:after="240"/>
      </w:pPr>
      <w:r>
        <w:rPr>
          <w:rtl w:val="0"/>
        </w:rPr>
        <w:t>I do! There is no way that anyone retains any information without quality reasoning.</w:t>
      </w:r>
    </w:p>
    <w:p>
      <w:pPr>
        <w:pStyle w:val="Body"/>
        <w:numPr>
          <w:ilvl w:val="0"/>
          <w:numId w:val="2"/>
        </w:numPr>
        <w:spacing w:before="240" w:after="240"/>
      </w:pPr>
      <w:r>
        <w:rPr>
          <w:rtl w:val="0"/>
        </w:rPr>
        <w:t>As my teaching focuses on the text of the New Testament that both sanctions my students to do what they will be doing after seminary as (mostly) pastors and is the source of their teaching, preaching, pastoral care and witness, I seek to make my students learn what the content of the text in question is and why and how it is relevant, significant and applicable to them in their future ministry. I also zoom in on the internal logic of the text that is often very clear in and of itself, but at times needs to be explained and taught to the students who will soon need to teach and preach it to their future congregations.</w:t>
      </w:r>
    </w:p>
    <w:sectPr>
      <w:headerReference w:type="default" r:id="rId4"/>
      <w:footerReference w:type="default" r:id="rId5"/>
      <w:pgSz w:w="11900" w:h="16840" w:orient="portrait"/>
      <w:pgMar w:top="1440" w:right="1800" w:bottom="1440" w:left="180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mbria">
    <w:charset w:val="00"/>
    <w:family w:val="roman"/>
    <w:pitch w:val="default"/>
  </w:font>
  <w:font w:name="Cambria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8280"/>
        <w:tab w:val="clear" w:pos="8640"/>
      </w:tabs>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spacing w:before="240" w:after="240"/>
    </w:pPr>
    <w:r>
      <w:rPr>
        <w:sz w:val="18"/>
        <w:szCs w:val="18"/>
        <w:rtl w:val="0"/>
      </w:rPr>
      <w:t>Samuli Siikavirta, Concordia Theological Seminary, Fort Wayne</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lowerLetter"/>
      <w:suff w:val="tab"/>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Lettered">
    <w:name w:val="Lettere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